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2C6B4">
      <w:pPr>
        <w:pStyle w:val="13"/>
        <w:jc w:val="center"/>
      </w:pPr>
      <w:bookmarkStart w:id="0" w:name="_GoBack"/>
      <w:r>
        <w:t>钬激光治疗机维修</w:t>
      </w:r>
      <w:bookmarkEnd w:id="0"/>
      <w:r>
        <w:t>参数需求</w:t>
      </w:r>
    </w:p>
    <w:p w14:paraId="12FDD170">
      <w:pPr>
        <w:pStyle w:val="2"/>
      </w:pPr>
      <w:r>
        <w:t>基本信息</w:t>
      </w:r>
    </w:p>
    <w:p w14:paraId="54B7A222">
      <w:pPr>
        <w:pStyle w:val="11"/>
        <w:numPr>
          <w:ilvl w:val="0"/>
          <w:numId w:val="1"/>
        </w:numPr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sz w:val="24"/>
          <w:szCs w:val="24"/>
        </w:rPr>
        <w:t>设备名称</w:t>
      </w:r>
      <w:r>
        <w:rPr>
          <w:rFonts w:ascii="Times New Roman" w:hAnsi="Times New Roman" w:eastAsia="宋体" w:cs="Times New Roman"/>
          <w:b w:val="0"/>
          <w:i w:val="0"/>
          <w:sz w:val="24"/>
          <w:szCs w:val="24"/>
        </w:rPr>
        <w:t>：钬（Ho:YAG）激光治疗机</w:t>
      </w:r>
    </w:p>
    <w:p w14:paraId="78F00537">
      <w:pPr>
        <w:pStyle w:val="11"/>
        <w:numPr>
          <w:ilvl w:val="0"/>
          <w:numId w:val="1"/>
        </w:numPr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sz w:val="24"/>
          <w:szCs w:val="24"/>
        </w:rPr>
        <w:t>设备型号</w:t>
      </w:r>
      <w:r>
        <w:rPr>
          <w:rFonts w:ascii="Times New Roman" w:hAnsi="Times New Roman" w:eastAsia="宋体" w:cs="Times New Roman"/>
          <w:b w:val="0"/>
          <w:i w:val="0"/>
          <w:sz w:val="24"/>
          <w:szCs w:val="24"/>
        </w:rPr>
        <w:t>：P. S. INT-100W</w:t>
      </w:r>
    </w:p>
    <w:p w14:paraId="567D17C1">
      <w:pPr>
        <w:pStyle w:val="11"/>
        <w:numPr>
          <w:ilvl w:val="0"/>
          <w:numId w:val="1"/>
        </w:numPr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sz w:val="24"/>
          <w:szCs w:val="24"/>
        </w:rPr>
        <w:t>设备编号</w:t>
      </w:r>
      <w:r>
        <w:rPr>
          <w:rFonts w:ascii="Times New Roman" w:hAnsi="Times New Roman" w:eastAsia="宋体" w:cs="Times New Roman"/>
          <w:b w:val="0"/>
          <w:i w:val="0"/>
          <w:sz w:val="24"/>
          <w:szCs w:val="24"/>
        </w:rPr>
        <w:t>：1827</w:t>
      </w:r>
    </w:p>
    <w:p w14:paraId="21082B1C">
      <w:pPr>
        <w:pStyle w:val="11"/>
        <w:numPr>
          <w:ilvl w:val="0"/>
          <w:numId w:val="1"/>
        </w:numPr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sz w:val="24"/>
          <w:szCs w:val="24"/>
        </w:rPr>
        <w:t>使用单位</w:t>
      </w:r>
      <w:r>
        <w:rPr>
          <w:rFonts w:ascii="Times New Roman" w:hAnsi="Times New Roman" w:eastAsia="宋体" w:cs="Times New Roman"/>
          <w:b w:val="0"/>
          <w:i w:val="0"/>
          <w:sz w:val="24"/>
          <w:szCs w:val="24"/>
        </w:rPr>
        <w:t>：北流市人民医院</w:t>
      </w:r>
    </w:p>
    <w:p w14:paraId="7EC2DCFB">
      <w:pPr>
        <w:pStyle w:val="11"/>
        <w:numPr>
          <w:ilvl w:val="0"/>
          <w:numId w:val="1"/>
        </w:numPr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sz w:val="24"/>
          <w:szCs w:val="24"/>
        </w:rPr>
        <w:t>故障现象</w:t>
      </w:r>
      <w:r>
        <w:rPr>
          <w:rFonts w:ascii="Times New Roman" w:hAnsi="Times New Roman" w:eastAsia="宋体" w:cs="Times New Roman"/>
          <w:b w:val="0"/>
          <w:i w:val="0"/>
          <w:sz w:val="24"/>
          <w:szCs w:val="24"/>
        </w:rPr>
        <w:t>：开机红屏、功率受限、保护镜损坏</w:t>
      </w:r>
    </w:p>
    <w:p w14:paraId="6CE9638B">
      <w:pPr>
        <w:pStyle w:val="3"/>
        <w:numPr>
          <w:ilvl w:val="0"/>
          <w:numId w:val="2"/>
        </w:numPr>
        <w:ind w:left="0" w:leftChars="0" w:firstLine="0" w:firstLineChars="0"/>
        <w:rPr>
          <w:b w:val="0"/>
        </w:rPr>
      </w:pPr>
      <w:r>
        <w:t>核心部件更换需求</w:t>
      </w:r>
    </w:p>
    <w:tbl>
      <w:tblPr>
        <w:tblStyle w:val="14"/>
        <w:tblW w:w="0" w:type="auto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60"/>
        <w:gridCol w:w="2060"/>
        <w:gridCol w:w="2060"/>
        <w:gridCol w:w="2060"/>
      </w:tblGrid>
      <w:tr w14:paraId="6CA9F54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60" w:type="dxa"/>
            <w:vAlign w:val="center"/>
          </w:tcPr>
          <w:p w14:paraId="59469E20">
            <w:pPr>
              <w:pageBreakBefore w:val="0"/>
              <w:wordWrap/>
              <w:spacing w:before="160" w:after="0"/>
              <w:ind w:left="0" w:right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spacing w:val="0"/>
                <w:sz w:val="24"/>
              </w:rPr>
              <w:t>更换部件名称</w:t>
            </w:r>
          </w:p>
        </w:tc>
        <w:tc>
          <w:tcPr>
            <w:tcW w:w="2060" w:type="dxa"/>
            <w:vAlign w:val="center"/>
          </w:tcPr>
          <w:p w14:paraId="047F7E50">
            <w:pPr>
              <w:pageBreakBefore w:val="0"/>
              <w:wordWrap/>
              <w:spacing w:before="160" w:after="0"/>
              <w:ind w:left="0" w:right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spacing w:val="0"/>
                <w:sz w:val="24"/>
              </w:rPr>
              <w:t>技术规格/参数要求</w:t>
            </w:r>
          </w:p>
        </w:tc>
        <w:tc>
          <w:tcPr>
            <w:tcW w:w="2060" w:type="dxa"/>
            <w:vAlign w:val="center"/>
          </w:tcPr>
          <w:p w14:paraId="30A47306">
            <w:pPr>
              <w:pageBreakBefore w:val="0"/>
              <w:wordWrap/>
              <w:spacing w:before="160" w:after="0"/>
              <w:ind w:left="0" w:right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spacing w:val="0"/>
                <w:sz w:val="24"/>
              </w:rPr>
              <w:t>数量</w:t>
            </w:r>
          </w:p>
        </w:tc>
        <w:tc>
          <w:tcPr>
            <w:tcW w:w="2060" w:type="dxa"/>
            <w:vAlign w:val="center"/>
          </w:tcPr>
          <w:p w14:paraId="61175A00">
            <w:pPr>
              <w:pageBreakBefore w:val="0"/>
              <w:wordWrap/>
              <w:spacing w:before="160" w:after="0"/>
              <w:ind w:left="0" w:right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spacing w:val="0"/>
                <w:sz w:val="24"/>
              </w:rPr>
              <w:t>备注</w:t>
            </w:r>
          </w:p>
        </w:tc>
      </w:tr>
      <w:tr w14:paraId="1ED01AD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60" w:type="dxa"/>
            <w:vAlign w:val="center"/>
          </w:tcPr>
          <w:p w14:paraId="2243B023">
            <w:pPr>
              <w:pageBreakBefore w:val="0"/>
              <w:wordWrap/>
              <w:spacing w:before="160" w:after="0"/>
              <w:ind w:left="0" w:right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第一路激光器</w:t>
            </w:r>
          </w:p>
        </w:tc>
        <w:tc>
          <w:tcPr>
            <w:tcW w:w="2060" w:type="dxa"/>
            <w:vAlign w:val="center"/>
          </w:tcPr>
          <w:p w14:paraId="32DDBB56">
            <w:pPr>
              <w:pageBreakBefore w:val="0"/>
              <w:wordWrap/>
              <w:spacing w:before="160" w:after="0"/>
              <w:ind w:left="0" w:right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spacing w:val="0"/>
                <w:sz w:val="24"/>
              </w:rPr>
              <w:t>型号匹配 P. S. INT-100W，性能稳定，无衰减</w:t>
            </w:r>
          </w:p>
        </w:tc>
        <w:tc>
          <w:tcPr>
            <w:tcW w:w="2060" w:type="dxa"/>
            <w:vAlign w:val="center"/>
          </w:tcPr>
          <w:p w14:paraId="2D0C89A1">
            <w:pPr>
              <w:pageBreakBefore w:val="0"/>
              <w:wordWrap/>
              <w:spacing w:before="160" w:after="0"/>
              <w:ind w:left="0" w:right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spacing w:val="0"/>
                <w:sz w:val="24"/>
              </w:rPr>
              <w:t>1套</w:t>
            </w:r>
          </w:p>
        </w:tc>
        <w:tc>
          <w:tcPr>
            <w:tcW w:w="2060" w:type="dxa"/>
            <w:vAlign w:val="center"/>
          </w:tcPr>
          <w:p w14:paraId="29931C36">
            <w:pPr>
              <w:pageBreakBefore w:val="0"/>
              <w:wordWrap/>
              <w:spacing w:before="160" w:after="0"/>
              <w:ind w:left="0" w:right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spacing w:val="0"/>
                <w:sz w:val="24"/>
              </w:rPr>
              <w:t>需调试后台参数</w:t>
            </w:r>
          </w:p>
        </w:tc>
      </w:tr>
      <w:tr w14:paraId="4726C63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60" w:type="dxa"/>
            <w:vAlign w:val="center"/>
          </w:tcPr>
          <w:p w14:paraId="1164BD20">
            <w:pPr>
              <w:pageBreakBefore w:val="0"/>
              <w:wordWrap/>
              <w:spacing w:before="160" w:after="0"/>
              <w:ind w:left="0" w:right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保护镜</w:t>
            </w:r>
          </w:p>
        </w:tc>
        <w:tc>
          <w:tcPr>
            <w:tcW w:w="2060" w:type="dxa"/>
            <w:vAlign w:val="center"/>
          </w:tcPr>
          <w:p w14:paraId="323FDDD2">
            <w:pPr>
              <w:pageBreakBefore w:val="0"/>
              <w:wordWrap/>
              <w:spacing w:before="160" w:after="0"/>
              <w:ind w:left="0" w:right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spacing w:val="0"/>
                <w:sz w:val="24"/>
              </w:rPr>
              <w:t>原厂或同等质量标准，透光率达标</w:t>
            </w:r>
          </w:p>
        </w:tc>
        <w:tc>
          <w:tcPr>
            <w:tcW w:w="2060" w:type="dxa"/>
            <w:vAlign w:val="center"/>
          </w:tcPr>
          <w:p w14:paraId="7080E9D7">
            <w:pPr>
              <w:pageBreakBefore w:val="0"/>
              <w:wordWrap/>
              <w:spacing w:before="160" w:after="0"/>
              <w:ind w:left="0" w:right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spacing w:val="0"/>
                <w:sz w:val="24"/>
              </w:rPr>
              <w:t>1个</w:t>
            </w:r>
          </w:p>
        </w:tc>
        <w:tc>
          <w:tcPr>
            <w:tcW w:w="2060" w:type="dxa"/>
            <w:vAlign w:val="center"/>
          </w:tcPr>
          <w:p w14:paraId="24F428E0">
            <w:pPr>
              <w:pageBreakBefore w:val="0"/>
              <w:wordWrap/>
              <w:spacing w:before="160" w:after="0"/>
              <w:ind w:left="0" w:right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spacing w:val="0"/>
                <w:sz w:val="24"/>
              </w:rPr>
              <w:t>防止光纤损坏</w:t>
            </w:r>
          </w:p>
        </w:tc>
      </w:tr>
      <w:tr w14:paraId="156BA9E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60" w:type="dxa"/>
            <w:vAlign w:val="center"/>
          </w:tcPr>
          <w:p w14:paraId="4CC2CA28">
            <w:pPr>
              <w:pageBreakBefore w:val="0"/>
              <w:wordWrap/>
              <w:spacing w:before="160" w:after="0"/>
              <w:ind w:left="0" w:right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第二反射镜</w:t>
            </w:r>
          </w:p>
        </w:tc>
        <w:tc>
          <w:tcPr>
            <w:tcW w:w="2060" w:type="dxa"/>
            <w:vAlign w:val="center"/>
          </w:tcPr>
          <w:p w14:paraId="31F9FD96">
            <w:pPr>
              <w:pageBreakBefore w:val="0"/>
              <w:wordWrap/>
              <w:spacing w:before="160" w:after="0"/>
              <w:ind w:left="0" w:right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spacing w:val="0"/>
                <w:sz w:val="24"/>
              </w:rPr>
              <w:t>原厂或同等质量标准，反射率达标</w:t>
            </w:r>
          </w:p>
        </w:tc>
        <w:tc>
          <w:tcPr>
            <w:tcW w:w="2060" w:type="dxa"/>
            <w:vAlign w:val="center"/>
          </w:tcPr>
          <w:p w14:paraId="7B70A522">
            <w:pPr>
              <w:pageBreakBefore w:val="0"/>
              <w:wordWrap/>
              <w:spacing w:before="160" w:after="0"/>
              <w:ind w:left="0" w:right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spacing w:val="0"/>
                <w:sz w:val="24"/>
              </w:rPr>
              <w:t>1个</w:t>
            </w:r>
          </w:p>
        </w:tc>
        <w:tc>
          <w:tcPr>
            <w:tcW w:w="2060" w:type="dxa"/>
            <w:vAlign w:val="center"/>
          </w:tcPr>
          <w:p w14:paraId="62B0622F">
            <w:pPr>
              <w:pageBreakBefore w:val="0"/>
              <w:wordWrap/>
              <w:spacing w:before="160" w:after="0"/>
              <w:ind w:left="0" w:right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spacing w:val="0"/>
                <w:sz w:val="24"/>
              </w:rPr>
              <w:t>需配合光路校准</w:t>
            </w:r>
          </w:p>
        </w:tc>
      </w:tr>
    </w:tbl>
    <w:p w14:paraId="6C5FCEB5">
      <w:pPr>
        <w:pStyle w:val="3"/>
        <w:numPr>
          <w:ilvl w:val="0"/>
          <w:numId w:val="2"/>
        </w:numPr>
        <w:ind w:left="0" w:leftChars="0" w:firstLine="0" w:firstLineChars="0"/>
        <w:rPr>
          <w:b w:val="0"/>
        </w:rPr>
      </w:pPr>
      <w:r>
        <w:t>调试与校准参数</w:t>
      </w:r>
    </w:p>
    <w:tbl>
      <w:tblPr>
        <w:tblStyle w:val="14"/>
        <w:tblW w:w="4998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72"/>
        <w:gridCol w:w="2772"/>
        <w:gridCol w:w="2773"/>
      </w:tblGrid>
      <w:tr w14:paraId="69A21D6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66" w:type="pct"/>
            <w:vAlign w:val="center"/>
          </w:tcPr>
          <w:p w14:paraId="4845CD77">
            <w:pPr>
              <w:pageBreakBefore w:val="0"/>
              <w:wordWrap/>
              <w:spacing w:before="160" w:after="0"/>
              <w:ind w:left="0" w:right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spacing w:val="0"/>
                <w:sz w:val="24"/>
              </w:rPr>
              <w:t>服务项目</w:t>
            </w:r>
          </w:p>
        </w:tc>
        <w:tc>
          <w:tcPr>
            <w:tcW w:w="1666" w:type="pct"/>
            <w:vAlign w:val="center"/>
          </w:tcPr>
          <w:p w14:paraId="5B21AF2F">
            <w:pPr>
              <w:pageBreakBefore w:val="0"/>
              <w:wordWrap/>
              <w:spacing w:before="160" w:after="0"/>
              <w:ind w:left="0" w:right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spacing w:val="0"/>
                <w:sz w:val="24"/>
              </w:rPr>
              <w:t>关键参数指标</w:t>
            </w:r>
          </w:p>
        </w:tc>
        <w:tc>
          <w:tcPr>
            <w:tcW w:w="1666" w:type="pct"/>
            <w:vAlign w:val="center"/>
          </w:tcPr>
          <w:p w14:paraId="7E603039">
            <w:pPr>
              <w:pageBreakBefore w:val="0"/>
              <w:wordWrap/>
              <w:spacing w:before="160" w:after="0"/>
              <w:ind w:left="0" w:right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spacing w:val="0"/>
                <w:sz w:val="24"/>
              </w:rPr>
              <w:t>验收标准</w:t>
            </w:r>
          </w:p>
        </w:tc>
      </w:tr>
      <w:tr w14:paraId="326C7E5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66" w:type="pct"/>
            <w:vAlign w:val="center"/>
          </w:tcPr>
          <w:p w14:paraId="70AF4285">
            <w:pPr>
              <w:pageBreakBefore w:val="0"/>
              <w:wordWrap/>
              <w:spacing w:before="160" w:after="0"/>
              <w:ind w:left="0" w:right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后台参数调试</w:t>
            </w:r>
          </w:p>
        </w:tc>
        <w:tc>
          <w:tcPr>
            <w:tcW w:w="1666" w:type="pct"/>
            <w:vAlign w:val="center"/>
          </w:tcPr>
          <w:p w14:paraId="064A69B7">
            <w:pPr>
              <w:pageBreakBefore w:val="0"/>
              <w:wordWrap/>
              <w:spacing w:before="160" w:after="0"/>
              <w:ind w:left="0" w:right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spacing w:val="0"/>
                <w:sz w:val="24"/>
              </w:rPr>
              <w:t>能量输出稳定，无报警</w:t>
            </w:r>
          </w:p>
        </w:tc>
        <w:tc>
          <w:tcPr>
            <w:tcW w:w="1666" w:type="pct"/>
            <w:vAlign w:val="center"/>
          </w:tcPr>
          <w:p w14:paraId="45D0557D">
            <w:pPr>
              <w:pageBreakBefore w:val="0"/>
              <w:wordWrap/>
              <w:spacing w:before="160" w:after="0"/>
              <w:ind w:left="0" w:right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spacing w:val="0"/>
                <w:sz w:val="24"/>
              </w:rPr>
              <w:t>消除红屏故障，解除功率限制</w:t>
            </w:r>
          </w:p>
        </w:tc>
      </w:tr>
      <w:tr w14:paraId="410D5E1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66" w:type="pct"/>
            <w:vAlign w:val="center"/>
          </w:tcPr>
          <w:p w14:paraId="30DF42DC">
            <w:pPr>
              <w:pageBreakBefore w:val="0"/>
              <w:wordWrap/>
              <w:spacing w:before="160" w:after="0"/>
              <w:ind w:left="0" w:right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光路校准</w:t>
            </w:r>
          </w:p>
        </w:tc>
        <w:tc>
          <w:tcPr>
            <w:tcW w:w="1666" w:type="pct"/>
            <w:vAlign w:val="center"/>
          </w:tcPr>
          <w:p w14:paraId="7F7AFED9">
            <w:pPr>
              <w:pageBreakBefore w:val="0"/>
              <w:wordWrap/>
              <w:spacing w:before="160" w:after="0"/>
              <w:ind w:left="0" w:right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spacing w:val="0"/>
                <w:sz w:val="24"/>
              </w:rPr>
              <w:t>光斑圆润，对中准确</w:t>
            </w:r>
          </w:p>
        </w:tc>
        <w:tc>
          <w:tcPr>
            <w:tcW w:w="1666" w:type="pct"/>
            <w:vAlign w:val="center"/>
          </w:tcPr>
          <w:p w14:paraId="5C0B43F2">
            <w:pPr>
              <w:pageBreakBefore w:val="0"/>
              <w:wordWrap/>
              <w:spacing w:before="160" w:after="0"/>
              <w:ind w:left="0" w:right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spacing w:val="0"/>
                <w:sz w:val="24"/>
              </w:rPr>
              <w:t>更换镜片后必须进行，确保传输效率</w:t>
            </w:r>
          </w:p>
        </w:tc>
      </w:tr>
      <w:tr w14:paraId="1630FC3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66" w:type="pct"/>
            <w:vAlign w:val="center"/>
          </w:tcPr>
          <w:p w14:paraId="5D0582DE">
            <w:pPr>
              <w:pageBreakBefore w:val="0"/>
              <w:wordWrap/>
              <w:spacing w:before="160" w:after="0"/>
              <w:ind w:left="0" w:right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水质与过滤器</w:t>
            </w:r>
          </w:p>
        </w:tc>
        <w:tc>
          <w:tcPr>
            <w:tcW w:w="1666" w:type="pct"/>
            <w:vAlign w:val="center"/>
          </w:tcPr>
          <w:p w14:paraId="2835CE9A">
            <w:pPr>
              <w:pageBreakBefore w:val="0"/>
              <w:wordWrap/>
              <w:spacing w:before="160" w:after="0"/>
              <w:ind w:left="0" w:right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spacing w:val="0"/>
                <w:sz w:val="24"/>
              </w:rPr>
              <w:t>更换纯净水，清洗/更换过滤器</w:t>
            </w:r>
          </w:p>
        </w:tc>
        <w:tc>
          <w:tcPr>
            <w:tcW w:w="1666" w:type="pct"/>
            <w:vAlign w:val="center"/>
          </w:tcPr>
          <w:p w14:paraId="5EFF54B6">
            <w:pPr>
              <w:pageBreakBefore w:val="0"/>
              <w:wordWrap/>
              <w:spacing w:before="160" w:after="0"/>
              <w:ind w:left="0" w:right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 w:val="0"/>
                <w:i w:val="0"/>
                <w:spacing w:val="0"/>
                <w:sz w:val="24"/>
              </w:rPr>
              <w:t>解决水质太差问题，防止加速衰减</w:t>
            </w:r>
          </w:p>
        </w:tc>
      </w:tr>
    </w:tbl>
    <w:p w14:paraId="4748A624">
      <w:pPr>
        <w:pStyle w:val="3"/>
        <w:numPr>
          <w:ilvl w:val="0"/>
          <w:numId w:val="2"/>
        </w:numPr>
        <w:ind w:left="0" w:leftChars="0" w:firstLine="0" w:firstLineChars="0"/>
        <w:rPr>
          <w:b w:val="0"/>
        </w:rPr>
      </w:pPr>
      <w:r>
        <w:t>附加服务需求</w:t>
      </w:r>
    </w:p>
    <w:p w14:paraId="22827EF4">
      <w:pPr>
        <w:pStyle w:val="11"/>
        <w:numPr>
          <w:ilvl w:val="0"/>
          <w:numId w:val="3"/>
        </w:numPr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sz w:val="24"/>
          <w:szCs w:val="24"/>
        </w:rPr>
        <w:t>整机全面保养</w:t>
      </w:r>
      <w:r>
        <w:rPr>
          <w:rFonts w:ascii="Times New Roman" w:hAnsi="Times New Roman" w:eastAsia="宋体" w:cs="Times New Roman"/>
          <w:b w:val="0"/>
          <w:i w:val="0"/>
          <w:sz w:val="24"/>
          <w:szCs w:val="24"/>
        </w:rPr>
        <w:t>：包括设备内外部清洁、电路检查、冷却系统维护等。</w:t>
      </w:r>
    </w:p>
    <w:p w14:paraId="4FD316EB">
      <w:pPr>
        <w:pStyle w:val="11"/>
        <w:numPr>
          <w:ilvl w:val="0"/>
          <w:numId w:val="3"/>
        </w:numPr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sz w:val="24"/>
          <w:szCs w:val="24"/>
        </w:rPr>
        <w:t>其它三路激光器检查</w:t>
      </w:r>
      <w:r>
        <w:rPr>
          <w:rFonts w:ascii="Times New Roman" w:hAnsi="Times New Roman" w:eastAsia="宋体" w:cs="Times New Roman"/>
          <w:b w:val="0"/>
          <w:i w:val="0"/>
          <w:sz w:val="24"/>
          <w:szCs w:val="24"/>
        </w:rPr>
        <w:t>：虽然目前暂不影响使用，但需检查其性能下降原因并做优化。</w:t>
      </w:r>
    </w:p>
    <w:p w14:paraId="2B354243">
      <w:pPr>
        <w:pStyle w:val="3"/>
        <w:numPr>
          <w:ilvl w:val="0"/>
          <w:numId w:val="2"/>
        </w:numPr>
        <w:ind w:left="0" w:leftChars="0" w:firstLine="0" w:firstLineChars="0"/>
        <w:rPr>
          <w:b w:val="0"/>
        </w:rPr>
      </w:pPr>
      <w:r>
        <w:t>质保期：</w:t>
      </w:r>
    </w:p>
    <w:p w14:paraId="087CED1B">
      <w:pPr>
        <w:pStyle w:val="11"/>
        <w:rPr>
          <w:rFonts w:ascii="Times New Roman" w:hAnsi="Times New Roman" w:eastAsia="宋体" w:cs="Times New Roman"/>
          <w:b w:val="0"/>
          <w:i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◦</w:t>
      </w:r>
      <w:r>
        <w:rPr>
          <w:rFonts w:ascii="Times New Roman" w:hAnsi="Times New Roman" w:eastAsia="宋体" w:cs="Times New Roman"/>
          <w:b/>
          <w:i w:val="0"/>
          <w:sz w:val="24"/>
          <w:szCs w:val="24"/>
        </w:rPr>
        <w:t>激光腔、镜片（保护镜、反射镜）</w:t>
      </w:r>
      <w:r>
        <w:rPr>
          <w:rFonts w:ascii="Times New Roman" w:hAnsi="Times New Roman" w:eastAsia="宋体" w:cs="Times New Roman"/>
          <w:b w:val="0"/>
          <w:i w:val="0"/>
          <w:sz w:val="24"/>
          <w:szCs w:val="24"/>
        </w:rPr>
        <w:t xml:space="preserve">：质保 </w:t>
      </w:r>
      <w:r>
        <w:rPr>
          <w:rFonts w:hint="eastAsia" w:cs="Times New Roman"/>
          <w:b w:val="0"/>
          <w:i w:val="0"/>
          <w:sz w:val="24"/>
          <w:szCs w:val="24"/>
          <w:lang w:val="en-US" w:eastAsia="zh-CN"/>
        </w:rPr>
        <w:t>3</w:t>
      </w:r>
      <w:r>
        <w:rPr>
          <w:rFonts w:ascii="Times New Roman" w:hAnsi="Times New Roman" w:eastAsia="宋体" w:cs="Times New Roman"/>
          <w:b/>
          <w:i w:val="0"/>
          <w:sz w:val="24"/>
          <w:szCs w:val="24"/>
        </w:rPr>
        <w:t>年</w:t>
      </w:r>
      <w:r>
        <w:rPr>
          <w:rFonts w:ascii="Times New Roman" w:hAnsi="Times New Roman" w:eastAsia="宋体" w:cs="Times New Roman"/>
          <w:b w:val="0"/>
          <w:i w:val="0"/>
          <w:sz w:val="24"/>
          <w:szCs w:val="24"/>
        </w:rPr>
        <w:t>。</w:t>
      </w:r>
    </w:p>
    <w:p w14:paraId="60BBC9AD">
      <w:pPr>
        <w:pStyle w:val="11"/>
        <w:rPr>
          <w:rFonts w:ascii="Times New Roman" w:hAnsi="Times New Roman" w:eastAsia="宋体" w:cs="Times New Roman"/>
          <w:b w:val="0"/>
          <w:i w:val="0"/>
          <w:sz w:val="24"/>
          <w:szCs w:val="24"/>
        </w:rPr>
      </w:pPr>
    </w:p>
    <w:p w14:paraId="61A0CDE3">
      <w:pPr>
        <w:pStyle w:val="11"/>
        <w:rPr>
          <w:rFonts w:ascii="Times New Roman" w:hAnsi="Times New Roman" w:eastAsia="宋体" w:cs="Times New Roman"/>
          <w:b w:val="0"/>
          <w:i w:val="0"/>
          <w:sz w:val="24"/>
          <w:szCs w:val="24"/>
        </w:rPr>
      </w:pPr>
    </w:p>
    <w:p w14:paraId="64428870">
      <w:pPr>
        <w:pStyle w:val="11"/>
        <w:rPr>
          <w:rFonts w:ascii="Times New Roman" w:hAnsi="Times New Roman" w:eastAsia="宋体" w:cs="Times New Roman"/>
          <w:b w:val="0"/>
          <w:i w:val="0"/>
          <w:sz w:val="24"/>
          <w:szCs w:val="24"/>
        </w:rPr>
      </w:pPr>
    </w:p>
    <w:p w14:paraId="4374F1EC">
      <w:pPr>
        <w:pStyle w:val="11"/>
        <w:ind w:firstLine="5760" w:firstLineChars="2400"/>
        <w:rPr>
          <w:rFonts w:hint="eastAsia" w:cs="Times New Roman"/>
          <w:b w:val="0"/>
          <w:i w:val="0"/>
          <w:sz w:val="24"/>
          <w:szCs w:val="24"/>
          <w:lang w:val="en-US" w:eastAsia="zh-CN"/>
        </w:rPr>
      </w:pPr>
      <w:r>
        <w:rPr>
          <w:rFonts w:hint="eastAsia" w:cs="Times New Roman"/>
          <w:b w:val="0"/>
          <w:i w:val="0"/>
          <w:sz w:val="24"/>
          <w:szCs w:val="24"/>
          <w:lang w:val="en-US" w:eastAsia="zh-CN"/>
        </w:rPr>
        <w:t>泌尿外科</w:t>
      </w:r>
    </w:p>
    <w:p w14:paraId="093AD322">
      <w:pPr>
        <w:pStyle w:val="11"/>
        <w:ind w:firstLine="5760" w:firstLineChars="2400"/>
        <w:rPr>
          <w:rFonts w:hint="default" w:cs="Times New Roman"/>
          <w:b w:val="0"/>
          <w:i w:val="0"/>
          <w:sz w:val="24"/>
          <w:szCs w:val="24"/>
          <w:lang w:val="en-US" w:eastAsia="zh-CN"/>
        </w:rPr>
      </w:pPr>
      <w:r>
        <w:rPr>
          <w:rFonts w:hint="eastAsia" w:cs="Times New Roman"/>
          <w:b w:val="0"/>
          <w:i w:val="0"/>
          <w:sz w:val="24"/>
          <w:szCs w:val="24"/>
          <w:lang w:val="en-US" w:eastAsia="zh-CN"/>
        </w:rPr>
        <w:t>2026年7月7日</w:t>
      </w:r>
    </w:p>
    <w:p w14:paraId="0761796C">
      <w:pPr>
        <w:jc w:val="left"/>
      </w:pPr>
    </w:p>
    <w:sectPr>
      <w:headerReference r:id="rId3" w:type="default"/>
      <w:footerReference r:id="rId4" w:type="default"/>
      <w:pgSz w:w="1190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F0AE99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C18E6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8C5592E"/>
    <w:multiLevelType w:val="singleLevel"/>
    <w:tmpl w:val="F8C5592E"/>
    <w:lvl w:ilvl="0" w:tentative="0">
      <w:start w:val="1"/>
      <w:numFmt w:val="decimal"/>
      <w:suff w:val="space"/>
      <w:lvlText w:val=""/>
      <w:lvlJc w:val="left"/>
      <w:pPr>
        <w:ind w:left="0" w:firstLine="480"/>
      </w:pPr>
      <w:rPr>
        <w:rFonts w:hint="default"/>
      </w:rPr>
    </w:lvl>
  </w:abstractNum>
  <w:abstractNum w:abstractNumId="1">
    <w:nsid w:val="15ED32F9"/>
    <w:multiLevelType w:val="singleLevel"/>
    <w:tmpl w:val="15ED32F9"/>
    <w:lvl w:ilvl="0" w:tentative="0">
      <w:start w:val="1"/>
      <w:numFmt w:val="decimal"/>
      <w:suff w:val="space"/>
      <w:lvlText w:val=""/>
      <w:lvlJc w:val="left"/>
      <w:pPr>
        <w:ind w:left="0" w:firstLine="480"/>
      </w:pPr>
      <w:rPr>
        <w:rFonts w:hint="default"/>
      </w:rPr>
    </w:lvl>
  </w:abstractNum>
  <w:abstractNum w:abstractNumId="2">
    <w:nsid w:val="3577878D"/>
    <w:multiLevelType w:val="singleLevel"/>
    <w:tmpl w:val="3577878D"/>
    <w:lvl w:ilvl="0" w:tentative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compat>
    <w:ulTrailSpace/>
    <w:useFELayout/>
    <w:compatSetting w:name="compatibilityMode" w:uri="http://schemas.microsoft.com/office/word" w:val="15"/>
  </w:compat>
  <w:rsids>
    <w:rsidRoot w:val="00000000"/>
    <w:rsid w:val="3B3B0773"/>
    <w:rsid w:val="4ED25625"/>
    <w:rsid w:val="4F316DA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1"/>
    <w:next w:val="1"/>
    <w:qFormat/>
    <w:uiPriority w:val="0"/>
    <w:pPr>
      <w:widowControl w:val="0"/>
      <w:adjustRightInd w:val="0"/>
      <w:spacing w:before="320" w:line="300" w:lineRule="auto"/>
      <w:jc w:val="both"/>
      <w:outlineLvl w:val="0"/>
    </w:pPr>
    <w:rPr>
      <w:rFonts w:ascii="Times New Roman" w:hAnsi="Times New Roman" w:eastAsia="黑体" w:cs="Times New Roman"/>
      <w:color w:val="000000"/>
      <w:kern w:val="44"/>
      <w:sz w:val="32"/>
      <w:szCs w:val="44"/>
      <w:lang w:bidi="ar-SA"/>
    </w:rPr>
  </w:style>
  <w:style w:type="paragraph" w:styleId="3">
    <w:name w:val="heading 2"/>
    <w:next w:val="1"/>
    <w:unhideWhenUsed/>
    <w:qFormat/>
    <w:uiPriority w:val="0"/>
    <w:pPr>
      <w:widowControl w:val="0"/>
      <w:adjustRightInd w:val="0"/>
      <w:spacing w:before="280" w:line="300" w:lineRule="auto"/>
      <w:jc w:val="both"/>
      <w:outlineLvl w:val="1"/>
    </w:pPr>
    <w:rPr>
      <w:rFonts w:ascii="Times New Roman" w:hAnsi="Times New Roman" w:eastAsia="黑体" w:cs="Times New Roman"/>
      <w:kern w:val="2"/>
      <w:sz w:val="30"/>
      <w:szCs w:val="32"/>
      <w:lang w:bidi="ar-SA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widowControl w:val="0"/>
      <w:adjustRightInd w:val="0"/>
      <w:spacing w:before="240" w:line="300" w:lineRule="auto"/>
      <w:jc w:val="both"/>
      <w:outlineLvl w:val="2"/>
    </w:pPr>
    <w:rPr>
      <w:rFonts w:ascii="Times New Roman" w:hAnsi="Times New Roman" w:eastAsia="黑体" w:cs="Times New Roman"/>
      <w:kern w:val="2"/>
      <w:sz w:val="30"/>
      <w:szCs w:val="24"/>
      <w:lang w:bidi="ar-SA"/>
    </w:rPr>
  </w:style>
  <w:style w:type="paragraph" w:styleId="5">
    <w:name w:val="heading 4"/>
    <w:next w:val="1"/>
    <w:semiHidden/>
    <w:unhideWhenUsed/>
    <w:qFormat/>
    <w:uiPriority w:val="0"/>
    <w:pPr>
      <w:keepNext/>
      <w:keepLines/>
      <w:widowControl w:val="0"/>
      <w:adjustRightInd w:val="0"/>
      <w:spacing w:before="200" w:line="300" w:lineRule="auto"/>
      <w:jc w:val="both"/>
      <w:outlineLvl w:val="3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6">
    <w:name w:val="heading 5"/>
    <w:next w:val="1"/>
    <w:semiHidden/>
    <w:unhideWhenUsed/>
    <w:qFormat/>
    <w:uiPriority w:val="0"/>
    <w:pPr>
      <w:keepNext/>
      <w:keepLines/>
      <w:widowControl w:val="0"/>
      <w:adjustRightInd w:val="0"/>
      <w:spacing w:before="160" w:line="300" w:lineRule="auto"/>
      <w:jc w:val="both"/>
      <w:outlineLvl w:val="4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7">
    <w:name w:val="heading 6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5"/>
    </w:pPr>
    <w:rPr>
      <w:rFonts w:ascii="Times New Roman" w:hAnsi="Times New Roman" w:eastAsia="黑体" w:cs="Times New Roman"/>
      <w:bCs/>
      <w:kern w:val="2"/>
      <w:sz w:val="28"/>
      <w:szCs w:val="24"/>
      <w:lang w:bidi="ar-SA"/>
    </w:rPr>
  </w:style>
  <w:style w:type="paragraph" w:styleId="8">
    <w:name w:val="heading 7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6"/>
    </w:pPr>
    <w:rPr>
      <w:rFonts w:ascii="Times New Roman" w:hAnsi="Times New Roman" w:eastAsia="黑体" w:cs="Times New Roman"/>
      <w:bCs/>
      <w:kern w:val="2"/>
      <w:sz w:val="24"/>
      <w:szCs w:val="24"/>
      <w:lang w:bidi="ar-SA"/>
    </w:rPr>
  </w:style>
  <w:style w:type="paragraph" w:styleId="9">
    <w:name w:val="heading 8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7"/>
    </w:pPr>
    <w:rPr>
      <w:rFonts w:ascii="Times New Roman" w:hAnsi="Times New Roman" w:eastAsia="黑体" w:cs="Times New Roman"/>
      <w:kern w:val="2"/>
      <w:sz w:val="24"/>
      <w:szCs w:val="24"/>
      <w:lang w:bidi="ar-SA"/>
    </w:rPr>
  </w:style>
  <w:style w:type="paragraph" w:styleId="10">
    <w:name w:val="heading 9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8"/>
    </w:pPr>
    <w:rPr>
      <w:rFonts w:ascii="Times New Roman" w:hAnsi="Times New Roman" w:eastAsia="黑体" w:cs="Times New Roman"/>
      <w:kern w:val="2"/>
      <w:sz w:val="21"/>
      <w:szCs w:val="21"/>
      <w:lang w:bidi="ar-SA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qFormat/>
    <w:uiPriority w:val="0"/>
    <w:pPr>
      <w:widowControl w:val="0"/>
      <w:adjustRightInd w:val="0"/>
      <w:spacing w:before="100" w:after="100" w:afterLines="0" w:afterAutospacing="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bidi="ar-SA"/>
    </w:rPr>
  </w:style>
  <w:style w:type="paragraph" w:styleId="12">
    <w:name w:val="Subtitle"/>
    <w:qFormat/>
    <w:uiPriority w:val="0"/>
    <w:pPr>
      <w:widowControl w:val="0"/>
      <w:adjustRightInd w:val="0"/>
      <w:spacing w:before="100" w:after="100" w:line="240" w:lineRule="auto"/>
      <w:jc w:val="center"/>
      <w:outlineLvl w:val="9"/>
    </w:pPr>
    <w:rPr>
      <w:rFonts w:ascii="Times New Roman" w:hAnsi="Times New Roman" w:eastAsia="黑体" w:cs="Times New Roman"/>
      <w:kern w:val="28"/>
      <w:sz w:val="32"/>
      <w:szCs w:val="24"/>
      <w:lang w:bidi="ar-SA"/>
    </w:rPr>
  </w:style>
  <w:style w:type="paragraph" w:styleId="13">
    <w:name w:val="Title"/>
    <w:qFormat/>
    <w:uiPriority w:val="0"/>
    <w:pPr>
      <w:widowControl w:val="0"/>
      <w:adjustRightInd w:val="0"/>
      <w:spacing w:before="100" w:beforeAutospacing="0" w:after="100" w:afterAutospacing="0" w:line="240" w:lineRule="auto"/>
      <w:jc w:val="center"/>
      <w:outlineLvl w:val="9"/>
    </w:pPr>
    <w:rPr>
      <w:rFonts w:ascii="Times New Roman" w:hAnsi="Times New Roman" w:eastAsia="黑体" w:cs="Times New Roman"/>
      <w:kern w:val="2"/>
      <w:sz w:val="36"/>
      <w:szCs w:val="24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412</Words>
  <Characters>441</Characters>
  <TotalTime>5</TotalTime>
  <ScaleCrop>false</ScaleCrop>
  <LinksUpToDate>false</LinksUpToDate>
  <CharactersWithSpaces>447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2026-07-07T09:29:00Z</dcterms:created>
  <dc:creator>Apache POI</dc:creator>
  <cp:lastModifiedBy>蔡永宇</cp:lastModifiedBy>
  <dcterms:modified xsi:type="dcterms:W3CDTF">2026-07-09T09:17:07Z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ContentPropagator":"001191440101MA9Y9T4H7A00000","Label":"1","ReservedCode1":"IapBub57kOFRKMi11erwto0injBiw3FN4rqigy8f02U=","ProduceID":"doc_sgs:a2e37d2e-5c6d-4e87-9c68-0da1eade9169","ReservedCode2":"IapBub57kOFRKMi11erwto0injBiw3FN4rqigy8f02U=","PropagateID":"doc_sgs:a2e37d2e-5c6d-4e87-9c68-0da1eade9169","ContentProducer":"001191440101MA9Y9T4H7A00000"}</vt:lpwstr>
  </property>
  <property fmtid="{D5CDD505-2E9C-101B-9397-08002B2CF9AE}" pid="3" name="KSOTemplateDocerSaveRecord">
    <vt:lpwstr>eyJoZGlkIjoiNzBjNGQ2NGEyMzliZTgzMjdiNDZkZWRiMDY5Yzk1ZTMiLCJ1c2VySWQiOiIxODA1NTk2NjIyIn0=</vt:lpwstr>
  </property>
  <property fmtid="{D5CDD505-2E9C-101B-9397-08002B2CF9AE}" pid="4" name="KSOProductBuildVer">
    <vt:lpwstr>2052-12.1.0.26895</vt:lpwstr>
  </property>
  <property fmtid="{D5CDD505-2E9C-101B-9397-08002B2CF9AE}" pid="5" name="ICV">
    <vt:lpwstr>CFF5BEBF154B4F1DA3D719810A8407DB_12</vt:lpwstr>
  </property>
</Properties>
</file>